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Gewerbesteuer und Zinsen</w:t>
      </w:r>
    </w:p>
    <w:p>
      <w:pPr>
        <w:pStyle w:val="Normal"/>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die</w:t>
            </w:r>
            <w:r>
              <w:rPr>
                <w:rFonts w:eastAsia="DM Sans" w:cs="Segoe UI"/>
                <w:b w:val="false"/>
                <w:color w:val="003A40"/>
                <w:kern w:val="0"/>
                <w:sz w:val="20"/>
                <w:szCs w:val="20"/>
                <w:lang w:val="de-DE" w:eastAsia="en-US" w:bidi="ar-SA"/>
              </w:rPr>
              <w:t xml:space="preserve"> Bürgermeister</w:t>
            </w:r>
            <w:r>
              <w:rPr>
                <w:rFonts w:eastAsia="DM Sans" w:cs="Segoe UI"/>
                <w:b w:val="false"/>
                <w:color w:val="003A40"/>
                <w:kern w:val="0"/>
                <w:sz w:val="20"/>
                <w:szCs w:val="20"/>
                <w:lang w:val="de-DE" w:eastAsia="en-US" w:bidi="ar-SA"/>
              </w:rPr>
              <w:t>in</w:t>
            </w:r>
            <w:r>
              <w:rPr>
                <w:rFonts w:eastAsia="DM Sans" w:cs="Segoe UI"/>
                <w:b w:val="false"/>
                <w:color w:val="003A40"/>
                <w:kern w:val="0"/>
                <w:sz w:val="20"/>
                <w:szCs w:val="20"/>
                <w:lang w:val="de-DE" w:eastAsia="en-US" w:bidi="ar-SA"/>
              </w:rPr>
              <w:t xml:space="preserve"> </w:t>
            </w:r>
            <w:r>
              <w:rPr>
                <w:rFonts w:eastAsia="DM Sans" w:cs="Segoe UI"/>
                <w:b w:val="false"/>
                <w:color w:val="003A40"/>
                <w:kern w:val="0"/>
                <w:sz w:val="20"/>
                <w:szCs w:val="20"/>
                <w:lang w:val="de-DE" w:eastAsia="en-US" w:bidi="ar-SA"/>
              </w:rPr>
              <w:t>Sarina Pfründer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unterstützt die Kommunen bei der Veranlagung der Gewerbesteuer sowie Festsetzung der Gewerbesteuer-Vorauszahlungen und der Gewerbesteuer-Veranlagungszinsen gemäß Gewerbesteuergesetz (GewG) und der Abgabenordnung (AO).</w:t>
            </w:r>
          </w:p>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Die für einen Gewerbesteuerfall notwendigen Berechnungsgrundlagen sind in einem Veranlagungskonto enthalten. Neben den Stammdaten für den Gewerbesteuerbetrieb wie z.B. Betriebssitz, Betriebsform, Gewerbebeginn, Gewerbeende enthält das Veranlagungskonto die notwendigen Erhebungszeiträume. In diesen Erhebungszeiträumen für das Folgejahr, laufende Jahr und den Vorjahren stehen die aktuellen Berechnungsgrundlagen für die Steuerfestsetzung (Steuersoll, Gewerbeertrag, Gewerbekapital). Für die Festsetzung der Veranlagungszinsen gibt es für jeden Erhebungszeitraum beliebig viele Zinsperioden. Sie enthalten die notwendigen Berechnungsgrundlagen wie Bekanntgabe des Gewerbesteuerbescheides, Anzahl Monate für die Zinsberechnung usw. Sollveränderungen, die sich bei einer Vorauszahlungsfestsetzung, Veranlagung bzw. Zinsfestsetzung ergeben, werden an die Buchhaltung zur weiteren Zahlungsverfolgung übergeben.</w:t>
            </w:r>
          </w:p>
          <w:p>
            <w:pPr>
              <w:pStyle w:val="Normal"/>
              <w:widowControl/>
              <w:spacing w:before="0" w:after="120"/>
              <w:jc w:val="left"/>
              <w:rPr>
                <w:rFonts w:ascii="DM Sans" w:hAnsi="DM Sans" w:cs="Segoe UI" w:asciiTheme="majorHAnsi" w:hAnsiTheme="majorHAnsi"/>
                <w:sz w:val="20"/>
              </w:rPr>
            </w:pPr>
            <w:r>
              <w:rPr>
                <w:rFonts w:eastAsia="DM Sans" w:cs="Arial"/>
                <w:color w:val="003A40"/>
                <w:kern w:val="0"/>
                <w:sz w:val="20"/>
                <w:szCs w:val="20"/>
                <w:lang w:val="de-DE" w:eastAsia="en-US" w:bidi="ar-SA"/>
              </w:rPr>
              <w:t>Dem Steuerpflichtigen werden die Änderungen seiner Vorauszahlung bzw. das Ergebnis einer Veranlagung in einem Gewerbesteuerbescheid mitgeteilt. Bei einer Zinsfestsetzung ergeht ein zusätzlicher Zinsbescheid oder wird auf dem Gewerbesteuerbescheid mit beschieden. Das Steueramt erhält eine Sollveränderungsliste mit detaillierten Summierungen. Außerdem kann das Steueramt die relevanten Daten am Bildschirm mit den historischen Daten einsehen und verändern.</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val="false"/>
              <w:tabs>
                <w:tab w:val="clear" w:pos="709"/>
                <w:tab w:val="left" w:pos="466" w:leader="none"/>
                <w:tab w:val="left" w:pos="1696" w:leader="none"/>
              </w:tabs>
              <w:spacing w:before="120" w:after="120"/>
              <w:jc w:val="left"/>
              <w:rPr>
                <w:rFonts w:ascii="DM Sans" w:hAnsi="DM Sans" w:cs="Arial" w:asciiTheme="majorHAnsi" w:hAnsiTheme="majorHAnsi"/>
                <w:sz w:val="20"/>
              </w:rPr>
            </w:pPr>
            <w:r>
              <w:rPr>
                <w:rFonts w:eastAsia="DM Sans" w:cs="Arial"/>
                <w:color w:val="003A40"/>
                <w:kern w:val="0"/>
                <w:sz w:val="20"/>
                <w:szCs w:val="20"/>
                <w:lang w:val="de-DE" w:eastAsia="en-US" w:bidi="ar-SA"/>
              </w:rPr>
              <w:t>Insbesondere im Steuerrecht gelten besondere Bestimmungen für den Datenschutz, auf deren Einhaltung geachtet werden muss. Das Verfahren unterstützt daher die datenschutzrechtlichen Belangen in folgenden Punkten:</w:t>
            </w:r>
          </w:p>
          <w:p>
            <w:pPr>
              <w:pStyle w:val="ListParagraph"/>
              <w:widowControl w:val="false"/>
              <w:numPr>
                <w:ilvl w:val="0"/>
                <w:numId w:val="6"/>
              </w:numPr>
              <w:tabs>
                <w:tab w:val="clear" w:pos="709"/>
                <w:tab w:val="left" w:pos="466" w:leader="none"/>
                <w:tab w:val="left" w:pos="1696" w:leader="none"/>
              </w:tabs>
              <w:spacing w:lineRule="auto" w:line="240" w:before="120" w:after="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Erhebungszeiträumen, bei denen die Festsetzungsverjährungsfrist abgelaufen ist, soweit dies im Einzelfall vom Sachbearbeiter nicht anderweitig bestimmt wurde, weil z.B. ein Rechtsstreit anhängig ist</w:t>
            </w:r>
          </w:p>
          <w:p>
            <w:pPr>
              <w:pStyle w:val="ListParagraph"/>
              <w:widowControl w:val="false"/>
              <w:numPr>
                <w:ilvl w:val="0"/>
                <w:numId w:val="6"/>
              </w:numPr>
              <w:tabs>
                <w:tab w:val="clear" w:pos="709"/>
                <w:tab w:val="left" w:pos="466" w:leader="none"/>
                <w:tab w:val="left" w:pos="1696" w:leader="none"/>
              </w:tabs>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Steuerfällen, deren Steuerpflicht bereits länger als die Festsetzungsverjährungsfrist bei der Grundsteuer zurückliegt</w:t>
            </w:r>
          </w:p>
          <w:p>
            <w:pPr>
              <w:pStyle w:val="ListParagraph"/>
              <w:widowControl w:val="false"/>
              <w:tabs>
                <w:tab w:val="clear" w:pos="709"/>
                <w:tab w:val="left" w:pos="466" w:leader="none"/>
                <w:tab w:val="left" w:pos="1696" w:leader="none"/>
              </w:tabs>
              <w:spacing w:before="120" w:after="60"/>
              <w:contextualSpacing/>
              <w:jc w:val="left"/>
              <w:rPr>
                <w:rFonts w:ascii="DM Sans" w:hAnsi="DM Sans" w:cs="Arial" w:asciiTheme="majorHAnsi" w:hAnsiTheme="majorHAnsi"/>
                <w:sz w:val="20"/>
              </w:rPr>
            </w:pPr>
            <w:r>
              <w:rPr>
                <w:rFonts w:eastAsia="DM Sans" w:cs="Arial"/>
                <w:color w:val="003A40"/>
                <w:kern w:val="0"/>
                <w:sz w:val="16"/>
                <w:szCs w:val="20"/>
                <w:lang w:val="de-DE" w:eastAsia="en-US" w:bidi="ar-SA"/>
              </w:rPr>
            </w:r>
          </w:p>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bietet flexible Möglichkeiten zum Hinterlegen von spezifischen Angaben in den einzelnen Steuerfällen. Dies dürfen aber nur im dem Rahmen verwendet werden, wie sie zur unmittelbaren Aufgabenerfüllung bzw. Besteuerung notwendig sind.</w:t>
            </w:r>
          </w:p>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Für alle diese Fälle lässt sich keine konkrete Frist nennen. Löschen bzw. Sperrung haben bei korrekter Gesetzesauslegung mit dem Eintritt des Ereignisses, das zur Löschung bzw. Sperrung führt, zu erfolgen. Diesem Grundsatz gehen spezialgesetzliche Regelungen vor, soweit sie eine längere Speicherung vorsehen (z.B. §147 AO).</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ListParagraph"/>
              <w:widowControl/>
              <w:numPr>
                <w:ilvl w:val="0"/>
                <w:numId w:val="6"/>
              </w:numPr>
              <w:spacing w:before="0" w:after="120"/>
              <w:contextualSpacing/>
              <w:jc w:val="left"/>
              <w:rPr>
                <w:rFonts w:ascii="DM Sans" w:hAnsi="DM Sans" w:cs="Segoe UI" w:asciiTheme="majorHAnsi" w:hAnsiTheme="majorHAnsi"/>
                <w:b/>
                <w:b/>
                <w:sz w:val="20"/>
              </w:rPr>
            </w:pPr>
            <w:r>
              <w:rPr>
                <w:rFonts w:eastAsia="DM Sans" w:cs="Arial"/>
                <w:color w:val="003A40"/>
                <w:kern w:val="0"/>
                <w:sz w:val="20"/>
                <w:szCs w:val="20"/>
                <w:lang w:val="de-DE" w:eastAsia="en-US" w:bidi="ar-SA"/>
              </w:rPr>
              <w:t>Bearbeitende Stelle innerhalb der Gemeinde-/ Stadtverwaltung (i.d.R. Steueramt)</w:t>
            </w:r>
          </w:p>
          <w:p>
            <w:pPr>
              <w:pStyle w:val="ListParagraph"/>
              <w:widowControl/>
              <w:numPr>
                <w:ilvl w:val="0"/>
                <w:numId w:val="6"/>
              </w:numPr>
              <w:spacing w:before="0" w:after="120"/>
              <w:contextualSpacing/>
              <w:jc w:val="left"/>
              <w:rPr>
                <w:rFonts w:ascii="DM Sans" w:hAnsi="DM Sans" w:cs="Segoe UI" w:asciiTheme="majorHAnsi" w:hAnsiTheme="majorHAnsi"/>
                <w:b/>
                <w:b/>
                <w:sz w:val="20"/>
              </w:rPr>
            </w:pPr>
            <w:r>
              <w:rPr>
                <w:rFonts w:eastAsia="DM Sans" w:cs="Arial"/>
                <w:color w:val="003A40"/>
                <w:kern w:val="0"/>
                <w:sz w:val="20"/>
                <w:szCs w:val="20"/>
                <w:lang w:val="de-DE" w:eastAsia="en-US" w:bidi="ar-SA"/>
              </w:rPr>
              <w:t>Beschäftigte des Auftragsnehmers KIVBF / ITEOS für die im Auftrag nach Art. 28 DSGVO bestimmten Verarbeitungsvorgänge.</w:t>
            </w:r>
          </w:p>
          <w:p>
            <w:pPr>
              <w:pStyle w:val="ListParagraph"/>
              <w:widowControl/>
              <w:numPr>
                <w:ilvl w:val="0"/>
                <w:numId w:val="6"/>
              </w:numPr>
              <w:spacing w:before="0" w:after="120"/>
              <w:contextualSpacing/>
              <w:jc w:val="left"/>
              <w:rPr>
                <w:rFonts w:ascii="DM Sans" w:hAnsi="DM Sans" w:cs="Segoe UI" w:asciiTheme="majorHAnsi" w:hAnsiTheme="majorHAnsi"/>
                <w:b/>
                <w:b/>
                <w:sz w:val="20"/>
              </w:rPr>
            </w:pPr>
            <w:r>
              <w:rPr>
                <w:rFonts w:eastAsia="DM Sans" w:cs="Arial"/>
                <w:color w:val="003A40"/>
                <w:kern w:val="0"/>
                <w:sz w:val="20"/>
                <w:szCs w:val="20"/>
                <w:lang w:val="de-DE" w:eastAsia="en-US" w:bidi="ar-SA"/>
              </w:rPr>
              <w:t>In Ausnahmefällen erhält der Softwareentwickler nach vorheriger Genehmigung durch den Verantwortlichen vom Auftragsverarbeiter Auszüge aus dem Datenbestand für Fehlerüberprüfung / Softwareentwicklung.</w:t>
            </w:r>
          </w:p>
        </w:tc>
      </w:tr>
    </w:tbl>
    <w:p>
      <w:pPr>
        <w:pStyle w:val="Normal"/>
        <w:rPr>
          <w:sz w:val="16"/>
          <w:szCs w:val="16"/>
        </w:rPr>
      </w:pPr>
      <w:r>
        <w:rPr>
          <w:sz w:val="16"/>
          <w:szCs w:val="16"/>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bookmarkStart w:id="1" w:name="_GoBack"/>
      <w:bookmarkStart w:id="2" w:name="_GoBack"/>
      <w:bookmarkEnd w:id="2"/>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5"/>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page number" w:uiPriority="0"/>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character" w:styleId="Pagenumber">
    <w:name w:val="page number"/>
    <w:basedOn w:val="DefaultParagraphFont"/>
    <w:unhideWhenUsed/>
    <w:qFormat/>
    <w:rsid w:val="0010617d"/>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FB1B3-CDB9-4E92-8163-9C984599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47983B0.dotm</Template>
  <TotalTime>0</TotalTime>
  <Application>LibreOffice/7.2.7.2$Windows_X86_64 LibreOffice_project/8d71d29d553c0f7dcbfa38fbfda25ee34cce99a2</Application>
  <AppVersion>15.0000</AppVersion>
  <Pages>3</Pages>
  <Words>634</Words>
  <Characters>4657</Characters>
  <CharactersWithSpaces>5254</CharactersWithSpaces>
  <Paragraphs>45</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2021-09-21T14:32:00Z</dcterms:created>
  <dc:creator>Dahmen, Beate</dc:creator>
  <dc:description/>
  <dc:language>de-DE</dc:language>
  <cp:lastModifiedBy/>
  <cp:lastPrinted>2020-02-25T18:12:00Z</cp:lastPrinted>
  <dcterms:modified xsi:type="dcterms:W3CDTF">2024-04-16T09:40:35Z</dcterms:modified>
  <cp:revision>5</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