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Regisafe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Speicherung und Bearbeitung von Verwaltungsvorgängen und Personendaten zur  Erfüllung hoheitlicher Aufgaben (Vorgangsbearbeitung, Fallakten).</w:t>
              <w:br/>
              <w:t>Die Verarbeitung ist für die Wahrnehmung einer Aufgabe erforderlich, die im öffentlichen Interesse liegt oder in Ausübung öffentlicher Gewalt erfolgt, die dem Verantwortlichen übertragenwurde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Grundlagen ergeben sich aus diversen Rechtsgrundlagen. Unter anderem der Gemeindeordnung, Landkreisordnung.</w:t>
            </w:r>
          </w:p>
          <w:p>
            <w:pPr>
              <w:pStyle w:val="Textkrper"/>
              <w:widowControl/>
              <w:jc w:val="left"/>
              <w:rPr>
                <w:rFonts w:ascii="DM Sans" w:hAnsi="DM Sans" w:eastAsia="DM Sans" w:cs="Segoe UI" w:asciiTheme="majorHAnsi" w:eastAsiaTheme="minorHAnsi" w:hAnsiTheme="majorHAnsi"/>
                <w:color w:val="003A40" w:themeColor="text1"/>
                <w:sz w:val="20"/>
                <w:lang w:eastAsia="en-US"/>
              </w:rPr>
            </w:pPr>
            <w:r>
              <w:rPr>
                <w:rFonts w:eastAsia="DM Sans" w:cs="Segoe UI" w:eastAsiaTheme="minorHAnsi" w:ascii="DM Sans" w:hAnsi="DM Sans"/>
                <w:color w:val="003A40" w:themeColor="text1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Art. 6 Abs. 1 Buchst. e DS-GVO (i.V.m. Art. 6 Abs. 3) stellt für die öffentlichen Stellen den zentralen Erlaubnistatbestand zur Verarbeitung personenbezogener Daten dar. Allerdings handelt es sich bei Art. 6 Abs. 1 Buchst. e nicht um eine eigenständige Rechtsgrundlage, sondern gem. Art. 6 Abs. 3 (Öffnungsklausel!) ist diese durch Unionsrecht/ Recht des jeweiligen Mitgliedstaates festzulegen. Dies hat der baden-württembergische Landesgesetzgeber in §4 LDSG umgesetzt.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Textkrper"/>
              <w:widowControl/>
              <w:spacing w:before="60" w:after="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 w:ascii="DM Sans" w:hAnsi="DM Sans" w:asciiTheme="majorHAnsi" w:eastAsiaTheme="minorHAnsi" w:hAnsiTheme="majorHAns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Fristen ergeben sich aus den diversen Rechts-grundlagen, der zur bearbeitenden Sach- und Fallakten.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Textkrper"/>
              <w:widowControl/>
              <w:spacing w:before="60" w:after="0"/>
              <w:jc w:val="left"/>
              <w:rPr>
                <w:rFonts w:ascii="DM Sans" w:hAnsi="DM Sans" w:eastAsia="DM Sans" w:cs="Segoe UI" w:asciiTheme="majorHAnsi" w:eastAsiaTheme="minorHAnsi" w:hAnsiTheme="majorHAnsi"/>
                <w:color w:val="003A40" w:themeColor="text1"/>
                <w:sz w:val="20"/>
                <w:lang w:eastAsia="en-US"/>
              </w:rPr>
            </w:pPr>
            <w:r>
              <w:rPr>
                <w:rFonts w:eastAsia="DM Sans" w:cs="Segoe UI" w:ascii="DM Sans" w:hAnsi="DM Sans" w:asciiTheme="majorHAnsi" w:eastAsiaTheme="minorHAnsi" w:hAnsiTheme="majorHAns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Dokumenten-Management-System. Daten werden nicht automatisch nach außen gespielt. Interner Zugriff durch zuständige Gruppen-Zugangsberechtigung eingeschränkt.</w:t>
            </w:r>
          </w:p>
          <w:p>
            <w:pPr>
              <w:pStyle w:val="Textkrper"/>
              <w:widowControl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 w:ascii="DM Sans" w:hAnsi="DM Sans" w:asciiTheme="majorHAnsi" w:eastAsiaTheme="minorHAnsi" w:hAnsiTheme="majorHAns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interne, externe – auch innerhalb des RegiSafe Konzerns (Supportwesen)</w:t>
            </w:r>
            <w:bookmarkStart w:id="1" w:name="_GoBack"/>
            <w:bookmarkEnd w:id="1"/>
            <w:r>
              <w:rPr>
                <w:rFonts w:eastAsia="DM Sans" w:cs="Segoe UI" w:ascii="DM Sans" w:hAnsi="DM Sans" w:asciiTheme="majorHAnsi" w:eastAsiaTheme="minorHAnsi" w:hAnsiTheme="majorHAns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, eingebundene Dienstleister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ucida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Body Text" w:uiPriority="0" w:qFormat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character" w:styleId="TextkrperZchn" w:customStyle="1">
    <w:name w:val="Textkörper Zchn"/>
    <w:basedOn w:val="DefaultParagraphFont"/>
    <w:link w:val="Textkrper"/>
    <w:qFormat/>
    <w:rsid w:val="00424a52"/>
    <w:rPr>
      <w:rFonts w:ascii="Lucida Sans" w:hAnsi="Lucida Sans" w:eastAsia="Times New Roman" w:cs="Times New Roman"/>
      <w:color w:val="auto"/>
      <w:lang w:eastAsia="de-DE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link w:val="TextkrperZchn"/>
    <w:qFormat/>
    <w:rsid w:val="00424a52"/>
    <w:pPr>
      <w:spacing w:lineRule="auto" w:line="288" w:before="60" w:after="0"/>
    </w:pPr>
    <w:rPr>
      <w:rFonts w:ascii="Lucida Sans" w:hAnsi="Lucida Sans" w:eastAsia="Times New Roman" w:cs="Times New Roman"/>
      <w:color w:val="auto"/>
      <w:lang w:eastAsia="de-DE"/>
    </w:rPr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94704C-204E-4CCE-86D4-45156726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417</Words>
  <Characters>2972</Characters>
  <CharactersWithSpaces>3356</CharactersWithSpaces>
  <Paragraphs>40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2024-04-16T09:54:16Z</dcterms:modified>
  <cp:revision>9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